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32" w:rsidRPr="004F7632" w:rsidRDefault="004F7632" w:rsidP="004F7632">
      <w:pPr>
        <w:spacing w:after="233" w:line="274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r w:rsidRPr="004F7632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Письмо Федеральной службы по надзору в сфере образования и науки от 16 ноября 2011 г. N 06-571</w:t>
      </w:r>
      <w:proofErr w:type="gramStart"/>
      <w:r w:rsidRPr="004F7632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 xml:space="preserve"> О</w:t>
      </w:r>
      <w:proofErr w:type="gramEnd"/>
      <w:r w:rsidRPr="004F7632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 xml:space="preserve"> внесении изменений в реквизиты для уплаты государственной пошлины за выдачу свидетельства о государственной аккредитации</w:t>
      </w:r>
    </w:p>
    <w:p w:rsidR="004F7632" w:rsidRPr="004F7632" w:rsidRDefault="004F7632" w:rsidP="004F7632">
      <w:pPr>
        <w:spacing w:after="165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20 декабря 2011</w:t>
      </w:r>
    </w:p>
    <w:bookmarkStart w:id="0" w:name="0"/>
    <w:bookmarkEnd w:id="0"/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"http://www.garant.ru/products/ipo/prime/doc/55088148/" \l "55088148" </w:instrText>
      </w: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4F7632">
        <w:rPr>
          <w:rFonts w:ascii="Arial" w:eastAsia="Times New Roman" w:hAnsi="Arial" w:cs="Arial"/>
          <w:color w:val="2060A4"/>
          <w:sz w:val="19"/>
          <w:lang w:eastAsia="ru-RU"/>
        </w:rPr>
        <w:t>Справка</w:t>
      </w: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Настоящим письмом Федеральная служба по надзору в сфере образования и науки (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Рособрнадзор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информирует о том, что с 1 сентября 2011 года изменились реквизиты для уплаты государственной пошлины за совершение юридически значимых действий, осуществляемых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Рособрнадзором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 проведении процедуры государственной аккредитации образовательных учреждений (организаций). Новые реквизиты размещены на официальном сайте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Рособрнадзора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сети "Интернет" в разделе "Аккредитация".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Обращаем внимание на то, что при уплате государственной пошлины в графе "назначение платежа" необходимо указывать один из следующих вариантов: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выдачу свидетельства об аккредитации образовательного учреждения (организации);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аккредитацию новых УГС (образовательных программ);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переоформление свидетельства об аккредитации в связи с изменением наименования или местонахождения;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переоформление свидетельства об аккредитации с указанием УГС;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выдачу дубликата свидетельства об аккредитации.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Согласно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пп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 77,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пп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127-131, п. 1 ст. 333.33 Налогового кодекса Российской Федерации государственная пошлина за выдачу свидетельства о государственной аккредитации уплачивается в следующих размерах: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образовательного учреждения высшего профессионального образования - 130 000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образовательного учреждения дополнительного профессионального образования, научной организации - 120 000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образовательного учреждения среднего профессионального образования - 50 000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образовательного учреждения начального профессионального образования - 40 000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иного образовательного учреждения - 10 000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</w:t>
      </w:r>
      <w:proofErr w:type="gram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образовательного учреждения высшего профессионального образования - 70 000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образовательного учреждения дополнительного профессионального образования - 50 000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образовательного учреждения среднего профессионального образования - 25 000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образовательного учреждения начального профессионального образования - 15 000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иного образовательного учреждения - 3 000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программ, укрупненных групп направлений подготовки и специальностей: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каждой укрупненной группы направлений подготовки и специальностей высшего профессионального образования - 70 000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укрупненных групп направлений подготовки и специальностей послевузовского профессионального образования, дополнительных профессиональных образовательных программ, к которым установлены федеральные государственные требования, - 60 000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укрупненных групп направлений подготовки и специальностей среднего профессионального образования, начального профессионального образования - 25 000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основных общеобразовательных программ - 7 000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переоформление свидетельства о государственной аккредитации образовательного учреждения или научной организации в других случаях - 2 000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выдачу временного свидетельства о государственной аккредитации образовательного учреждения или научной организации - 2 000 рублей;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выдачу дубликата документа, подтверждающего аккредитацию (государственную аккредитацию), - 200 рублей.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Дополнительно сообщаем, что в случае уплаты государственной пошлины в большем размере, либо в случае уплаты государственной пошлины и отказа от совершения юридически значимого действия до обращения в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Рособрнадзор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возврат государственной пошлины плательщику осуществляет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Рособрнадзор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соответствии с действующим законодательством Российской Федерации.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Приложение: образец платежного поручения для уплаты государственной пошлины по процедурам государственной аккредитации.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</w:tblGrid>
      <w:tr w:rsidR="004F7632" w:rsidRPr="004F7632" w:rsidTr="004F7632">
        <w:tc>
          <w:tcPr>
            <w:tcW w:w="2500" w:type="pct"/>
            <w:hideMark/>
          </w:tcPr>
          <w:p w:rsidR="004F7632" w:rsidRPr="004F7632" w:rsidRDefault="004F7632" w:rsidP="004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4F7632" w:rsidRPr="004F7632" w:rsidRDefault="004F7632" w:rsidP="004F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 Муравьев</w:t>
            </w:r>
          </w:p>
        </w:tc>
      </w:tr>
    </w:tbl>
    <w:p w:rsidR="004F7632" w:rsidRPr="004F7632" w:rsidRDefault="004F7632" w:rsidP="004F7632">
      <w:pPr>
        <w:spacing w:before="233"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pict>
          <v:rect id="_x0000_i1025" style="width:0;height:.7pt" o:hralign="center" o:hrstd="t" o:hrnoshade="t" o:hr="t" fillcolor="#a0a0a0" stroked="f"/>
        </w:pic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Письмо Федеральной службы по надзору в сфере образования и науки от 16 ноября 2011 г. N 06-571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Текст письма официально опубликован не был</w:t>
      </w:r>
    </w:p>
    <w:p w:rsidR="004F7632" w:rsidRPr="004F7632" w:rsidRDefault="004F7632" w:rsidP="004F7632">
      <w:pPr>
        <w:spacing w:after="233" w:line="274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bookmarkStart w:id="1" w:name="review"/>
      <w:bookmarkEnd w:id="1"/>
      <w:r w:rsidRPr="004F7632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Обзор документа</w:t>
      </w:r>
    </w:p>
    <w:p w:rsidR="004F7632" w:rsidRPr="004F7632" w:rsidRDefault="004F7632" w:rsidP="004F7632">
      <w:pPr>
        <w:spacing w:before="233" w:after="2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pt" o:hrstd="t" o:hrnoshade="t" o:hr="t" fillcolor="black" stroked="f"/>
        </w:pic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 1 сентября 2011 г. изменились реквизиты для уплаты госпошлины за совершение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Рособрнадзором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юридически значимых действий при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госаккредитации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образовательных организаций. Новые реквизиты размещены на интернет-сайте Службы (раздел "Аккредитация").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Обращается внимание на правильность заполнения платежного поручения. В графе "назначение платежа" указывается 1 из следующих вариантов: за выдачу свидетельства об аккредитации; за аккредитацию новых укрупненных групп специальностей и направлений подготовки (УГС) (образовательных программ); за переоформление свидетельства об аккредитации в связи с изменением наименования или местонахождения; за переоформление свидетельства об аккредитации с указанием УГС; за выдачу дубликата свидетельства. Приведен образец платежного поручения.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Размер госпошлины за аккредитацию вуза составляет 130 тыс. руб. + 70 тыс. руб. за каждую включенную в свидетельство УГС в образовательном учреждении и каждом его филиале. </w:t>
      </w:r>
      <w:proofErr w:type="gram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аккредитацию учреждения дополнительного профобразования и научной организации взимается 120 тыс. руб., среднего профобразования - 50 тыс. руб., начального профобразования - 40 тыс. руб., иного - 10 тыс. руб.</w:t>
      </w:r>
      <w:proofErr w:type="gramEnd"/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Приведены размеры госпошлины за переоформление свидетельства, выдачу временного или дубликата.</w:t>
      </w:r>
    </w:p>
    <w:p w:rsidR="004F7632" w:rsidRPr="004F7632" w:rsidRDefault="004F7632" w:rsidP="004F7632">
      <w:pPr>
        <w:spacing w:after="233" w:line="23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Если пошлина уплачена в большем размере либо лицо отказалось от совершения юридически значимого действия до обращения в </w:t>
      </w:r>
      <w:proofErr w:type="spell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Рособрнадзор</w:t>
      </w:r>
      <w:proofErr w:type="spell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деньги возвращаются плательщику Службой.</w:t>
      </w:r>
    </w:p>
    <w:p w:rsidR="00E63EC4" w:rsidRDefault="004F7632" w:rsidP="004F7632"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ГАРАНТ</w:t>
      </w:r>
      <w:proofErr w:type="gramStart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.Р</w:t>
      </w:r>
      <w:proofErr w:type="gramEnd"/>
      <w:r w:rsidRPr="004F763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У:</w:t>
      </w:r>
      <w:r w:rsidRPr="004F7632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" w:anchor="review#ixzz3WW7SjN9H" w:history="1">
        <w:r w:rsidRPr="004F7632">
          <w:rPr>
            <w:rFonts w:ascii="Arial" w:eastAsia="Times New Roman" w:hAnsi="Arial" w:cs="Arial"/>
            <w:color w:val="003399"/>
            <w:sz w:val="19"/>
            <w:lang w:eastAsia="ru-RU"/>
          </w:rPr>
          <w:t>http://www.garant.ru/products/ipo/prime/doc/55088148/#review#ixzz3WW7SjN9H</w:t>
        </w:r>
      </w:hyperlink>
    </w:p>
    <w:sectPr w:rsidR="00E63EC4" w:rsidSect="00E6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F7632"/>
    <w:rsid w:val="004F7632"/>
    <w:rsid w:val="00E6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4"/>
  </w:style>
  <w:style w:type="paragraph" w:styleId="2">
    <w:name w:val="heading 2"/>
    <w:basedOn w:val="a"/>
    <w:link w:val="20"/>
    <w:uiPriority w:val="9"/>
    <w:qFormat/>
    <w:rsid w:val="004F7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6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3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55088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BedrinEN</dc:creator>
  <cp:lastModifiedBy>BedrinEN</cp:lastModifiedBy>
  <cp:revision>1</cp:revision>
  <dcterms:created xsi:type="dcterms:W3CDTF">2015-04-06T08:46:00Z</dcterms:created>
  <dcterms:modified xsi:type="dcterms:W3CDTF">2015-04-06T08:47:00Z</dcterms:modified>
</cp:coreProperties>
</file>